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BB8F" w14:textId="77777777" w:rsidR="000E6B9C" w:rsidRPr="002E7545" w:rsidRDefault="000E6B9C" w:rsidP="000E6B9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E7545">
        <w:rPr>
          <w:rFonts w:asciiTheme="minorHAnsi" w:hAnsiTheme="minorHAnsi" w:cstheme="minorHAnsi"/>
          <w:b/>
          <w:sz w:val="44"/>
          <w:szCs w:val="44"/>
        </w:rPr>
        <w:t>AGENDA NA 5</w:t>
      </w:r>
    </w:p>
    <w:p w14:paraId="387134EA" w14:textId="77777777" w:rsidR="000E6B9C" w:rsidRDefault="000E6B9C" w:rsidP="000E6B9C">
      <w:pPr>
        <w:rPr>
          <w:rFonts w:asciiTheme="minorHAnsi" w:hAnsiTheme="minorHAnsi" w:cstheme="minorHAnsi"/>
          <w:b/>
          <w:sz w:val="44"/>
          <w:szCs w:val="44"/>
        </w:rPr>
      </w:pPr>
    </w:p>
    <w:p w14:paraId="6A07D849" w14:textId="77777777" w:rsidR="000E6B9C" w:rsidRDefault="000E6B9C" w:rsidP="000E6B9C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sz w:val="44"/>
          <w:szCs w:val="44"/>
          <w:u w:val="single"/>
        </w:rPr>
        <w:t>YATOKANAYO NA MKUTANO MKUU WA 50</w:t>
      </w:r>
    </w:p>
    <w:p w14:paraId="4A015C35" w14:textId="77777777" w:rsidR="000E6B9C" w:rsidRPr="008B218F" w:rsidRDefault="000E6B9C" w:rsidP="000E6B9C">
      <w:pPr>
        <w:rPr>
          <w:rFonts w:cstheme="minorHAnsi"/>
          <w:b/>
          <w:sz w:val="44"/>
          <w:szCs w:val="44"/>
          <w:u w:val="single"/>
        </w:rPr>
      </w:pPr>
    </w:p>
    <w:p w14:paraId="313B487A" w14:textId="77777777" w:rsidR="000E6B9C" w:rsidRPr="008B218F" w:rsidRDefault="000E6B9C" w:rsidP="000E6B9C">
      <w:pPr>
        <w:tabs>
          <w:tab w:val="left" w:pos="360"/>
          <w:tab w:val="left" w:pos="540"/>
        </w:tabs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218F">
        <w:rPr>
          <w:rFonts w:cstheme="minorHAnsi"/>
          <w:b/>
          <w:noProof/>
          <w:sz w:val="44"/>
          <w:szCs w:val="44"/>
        </w:rPr>
        <w:drawing>
          <wp:inline distT="0" distB="0" distL="0" distR="0" wp14:anchorId="08DE501B" wp14:editId="53B3BE46">
            <wp:extent cx="781050" cy="781050"/>
            <wp:effectExtent l="0" t="0" r="0" b="0"/>
            <wp:docPr id="201" name="Picture 201" descr="D: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18F">
        <w:rPr>
          <w:rFonts w:ascii="Arial" w:hAnsi="Arial" w:cs="Arial"/>
          <w:b/>
          <w:sz w:val="28"/>
          <w:szCs w:val="28"/>
          <w:u w:val="single"/>
        </w:rPr>
        <w:t>USHIRIKA WA AKIBA NA MIKOPO WA WAFANYAKAZI WA NSSF</w:t>
      </w:r>
    </w:p>
    <w:p w14:paraId="4A584763" w14:textId="77777777" w:rsidR="000E6B9C" w:rsidRPr="008B218F" w:rsidRDefault="000E6B9C" w:rsidP="000E6B9C">
      <w:pPr>
        <w:tabs>
          <w:tab w:val="left" w:pos="360"/>
          <w:tab w:val="left" w:pos="540"/>
        </w:tabs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218F">
        <w:rPr>
          <w:rFonts w:ascii="Arial" w:hAnsi="Arial" w:cs="Arial"/>
          <w:b/>
          <w:sz w:val="28"/>
          <w:szCs w:val="28"/>
          <w:u w:val="single"/>
        </w:rPr>
        <w:t>YATOKANAYO NA MKUTANO MKUU WA 49 WA MWAKA 2020</w:t>
      </w:r>
    </w:p>
    <w:tbl>
      <w:tblPr>
        <w:tblW w:w="97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870"/>
        <w:gridCol w:w="4851"/>
      </w:tblGrid>
      <w:tr w:rsidR="000E6B9C" w:rsidRPr="008B218F" w14:paraId="14A03885" w14:textId="77777777" w:rsidTr="001840AE">
        <w:trPr>
          <w:trHeight w:val="593"/>
        </w:trPr>
        <w:tc>
          <w:tcPr>
            <w:tcW w:w="1003" w:type="dxa"/>
          </w:tcPr>
          <w:p w14:paraId="37B77D5A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18F">
              <w:rPr>
                <w:rFonts w:ascii="Arial" w:hAnsi="Arial" w:cs="Arial"/>
                <w:b/>
                <w:sz w:val="24"/>
                <w:szCs w:val="24"/>
              </w:rPr>
              <w:t>S/NO.</w:t>
            </w:r>
          </w:p>
        </w:tc>
        <w:tc>
          <w:tcPr>
            <w:tcW w:w="3870" w:type="dxa"/>
          </w:tcPr>
          <w:p w14:paraId="1550BE1D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MAAGIZO</w:t>
            </w:r>
          </w:p>
        </w:tc>
        <w:tc>
          <w:tcPr>
            <w:tcW w:w="4851" w:type="dxa"/>
          </w:tcPr>
          <w:p w14:paraId="559A1EE6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18F">
              <w:rPr>
                <w:rFonts w:ascii="Arial" w:hAnsi="Arial" w:cs="Arial"/>
                <w:b/>
                <w:sz w:val="24"/>
                <w:szCs w:val="24"/>
              </w:rPr>
              <w:t>UTEKELEZAJI</w:t>
            </w:r>
          </w:p>
        </w:tc>
      </w:tr>
      <w:tr w:rsidR="000E6B9C" w:rsidRPr="008B218F" w14:paraId="67F7C9B0" w14:textId="77777777" w:rsidTr="001840AE">
        <w:tc>
          <w:tcPr>
            <w:tcW w:w="1003" w:type="dxa"/>
          </w:tcPr>
          <w:p w14:paraId="61A50D6C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870" w:type="dxa"/>
          </w:tcPr>
          <w:p w14:paraId="1400D08A" w14:textId="77777777" w:rsidR="000E6B9C" w:rsidRPr="008B218F" w:rsidRDefault="000E6B9C" w:rsidP="001840AE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ELCT ND SACCOS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SCCULT.</w:t>
            </w:r>
          </w:p>
        </w:tc>
        <w:tc>
          <w:tcPr>
            <w:tcW w:w="4851" w:type="dxa"/>
          </w:tcPr>
          <w:p w14:paraId="7E4CEB9C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Tulitegemea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mkopo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ELCT 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lakini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kutokukubaliana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tukaghairisha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kuchukua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kutafuta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sehemu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nyingine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Chama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kimefanikiwa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mkopo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TZS. 50,000,000.00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hamsini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6B9C" w:rsidRPr="008B218F" w14:paraId="06B1EA52" w14:textId="77777777" w:rsidTr="001840AE">
        <w:tc>
          <w:tcPr>
            <w:tcW w:w="1003" w:type="dxa"/>
          </w:tcPr>
          <w:p w14:paraId="28015542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5630832B" w14:textId="77777777" w:rsidR="000E6B9C" w:rsidRPr="00BE6105" w:rsidRDefault="000E6B9C" w:rsidP="001840AE">
            <w:pPr>
              <w:tabs>
                <w:tab w:val="left" w:pos="1170"/>
                <w:tab w:val="left" w:pos="28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105">
              <w:rPr>
                <w:rFonts w:ascii="Arial" w:hAnsi="Arial" w:cs="Arial"/>
                <w:sz w:val="24"/>
                <w:szCs w:val="24"/>
              </w:rPr>
              <w:t>Tovuti</w:t>
            </w:r>
            <w:proofErr w:type="spellEnd"/>
            <w:r w:rsidRPr="00BE61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105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BE61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105">
              <w:rPr>
                <w:rFonts w:ascii="Arial" w:hAnsi="Arial" w:cs="Arial"/>
                <w:sz w:val="24"/>
                <w:szCs w:val="24"/>
              </w:rPr>
              <w:t>mfumo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14:paraId="1E24D952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kimefanikiwa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tovuti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imejiunga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mfumo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TMA (Speed finance)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ambazo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majiribio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E6B9C" w:rsidRPr="008B218F" w14:paraId="3D4E2167" w14:textId="77777777" w:rsidTr="001840AE">
        <w:tc>
          <w:tcPr>
            <w:tcW w:w="1003" w:type="dxa"/>
          </w:tcPr>
          <w:p w14:paraId="727702DC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5AB59F2B" w14:textId="5C3452EC" w:rsidR="000E6B9C" w:rsidRPr="00BE6105" w:rsidRDefault="000E6B9C" w:rsidP="001840AE">
            <w:pPr>
              <w:tabs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Gawio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Mtaji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Chama)</w:t>
            </w:r>
          </w:p>
        </w:tc>
        <w:tc>
          <w:tcPr>
            <w:tcW w:w="4851" w:type="dxa"/>
          </w:tcPr>
          <w:p w14:paraId="04A8082C" w14:textId="3C4887EF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kimependekeza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kuanzia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Januari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watakuwa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wanaweka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asilimia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(7%)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5F233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asilimia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(7%)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Hii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pia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njia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kusaidia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Chama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kupata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Mtaji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gharama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3A92">
              <w:rPr>
                <w:rFonts w:ascii="Arial" w:hAnsi="Arial" w:cs="Arial"/>
                <w:sz w:val="24"/>
                <w:szCs w:val="24"/>
              </w:rPr>
              <w:t>nafuu</w:t>
            </w:r>
            <w:proofErr w:type="spellEnd"/>
            <w:r w:rsidR="00043A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20360C1C" w14:textId="77777777" w:rsidTr="005F233E">
        <w:trPr>
          <w:trHeight w:val="558"/>
        </w:trPr>
        <w:tc>
          <w:tcPr>
            <w:tcW w:w="1003" w:type="dxa"/>
          </w:tcPr>
          <w:p w14:paraId="796446B4" w14:textId="77777777" w:rsidR="000E6B9C" w:rsidRPr="00E15D71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D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16F962E0" w14:textId="77777777" w:rsidR="000E6B9C" w:rsidRPr="00E15D71" w:rsidRDefault="000E6B9C" w:rsidP="001840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Kuomba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wataalam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kushughulikia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usafishaji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taarifa</w:t>
            </w:r>
            <w:proofErr w:type="spellEnd"/>
          </w:p>
        </w:tc>
        <w:tc>
          <w:tcPr>
            <w:tcW w:w="4851" w:type="dxa"/>
          </w:tcPr>
          <w:p w14:paraId="7852EC09" w14:textId="6EA0448E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watu</w:t>
            </w:r>
            <w:proofErr w:type="spellEnd"/>
            <w:r w:rsidR="005F23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F233E">
              <w:rPr>
                <w:rFonts w:ascii="Arial" w:hAnsi="Arial" w:cs="Arial"/>
                <w:sz w:val="24"/>
                <w:szCs w:val="24"/>
              </w:rPr>
              <w:lastRenderedPageBreak/>
              <w:t>k</w:t>
            </w:r>
            <w:r>
              <w:rPr>
                <w:rFonts w:ascii="Arial" w:hAnsi="Arial" w:cs="Arial"/>
                <w:sz w:val="24"/>
                <w:szCs w:val="24"/>
              </w:rPr>
              <w:t>imeshakamilika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kinachosubiriwa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F233E"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 w:rsidR="005F23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F233E">
              <w:rPr>
                <w:rFonts w:ascii="Arial" w:hAnsi="Arial" w:cs="Arial"/>
                <w:sz w:val="24"/>
                <w:szCs w:val="24"/>
              </w:rPr>
              <w:t>sasa</w:t>
            </w:r>
            <w:proofErr w:type="spellEnd"/>
            <w:r w:rsidR="005F23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kukamilisha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upatikanaji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taarifa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kibenki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kuwaita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kuanza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3CCEFCC4" w14:textId="77777777" w:rsidTr="001840AE">
        <w:tc>
          <w:tcPr>
            <w:tcW w:w="1003" w:type="dxa"/>
          </w:tcPr>
          <w:p w14:paraId="547B44F2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0" w:type="dxa"/>
          </w:tcPr>
          <w:p w14:paraId="1810C94A" w14:textId="77777777" w:rsidR="000E6B9C" w:rsidRPr="00BE6105" w:rsidRDefault="000E6B9C" w:rsidP="001840AE">
            <w:pPr>
              <w:tabs>
                <w:tab w:val="left" w:pos="106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Utoaji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yeti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</w:p>
        </w:tc>
        <w:tc>
          <w:tcPr>
            <w:tcW w:w="4851" w:type="dxa"/>
          </w:tcPr>
          <w:p w14:paraId="5706D966" w14:textId="77777777" w:rsidR="000E6B9C" w:rsidRPr="00FF3447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Zoezi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hili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limesogezwa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mpaka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mwakani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kusubiria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zoezi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usafishaji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taarifa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 w:rsidRPr="00FF3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3447">
              <w:rPr>
                <w:rFonts w:ascii="Arial" w:hAnsi="Arial" w:cs="Arial"/>
                <w:sz w:val="24"/>
                <w:szCs w:val="24"/>
              </w:rPr>
              <w:t>kukamilika</w:t>
            </w:r>
            <w:proofErr w:type="spellEnd"/>
          </w:p>
        </w:tc>
      </w:tr>
      <w:tr w:rsidR="000E6B9C" w:rsidRPr="008B218F" w14:paraId="082D70B6" w14:textId="77777777" w:rsidTr="001840AE">
        <w:tc>
          <w:tcPr>
            <w:tcW w:w="1003" w:type="dxa"/>
          </w:tcPr>
          <w:p w14:paraId="6BC3B574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4E152391" w14:textId="77777777" w:rsidR="000E6B9C" w:rsidRPr="008B218F" w:rsidRDefault="000E6B9C" w:rsidP="001840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Uongezekaji wa mishahara ya watendaji.</w:t>
            </w:r>
          </w:p>
          <w:p w14:paraId="1C025868" w14:textId="77777777" w:rsidR="000E6B9C" w:rsidRPr="008B218F" w:rsidRDefault="000E6B9C" w:rsidP="001840AE">
            <w:pPr>
              <w:tabs>
                <w:tab w:val="left" w:pos="1260"/>
                <w:tab w:val="left" w:pos="1350"/>
                <w:tab w:val="left" w:pos="32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851" w:type="dxa"/>
          </w:tcPr>
          <w:p w14:paraId="21064262" w14:textId="77777777" w:rsidR="000E6B9C" w:rsidRPr="00C57767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Mishahara</w:t>
            </w:r>
            <w:proofErr w:type="spellEnd"/>
            <w:r w:rsidRPr="00C577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imeongezeka</w:t>
            </w:r>
            <w:proofErr w:type="spellEnd"/>
            <w:r w:rsidRPr="00C577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kama</w:t>
            </w:r>
            <w:proofErr w:type="spellEnd"/>
            <w:r w:rsidRPr="00C577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ilivyopitishwa</w:t>
            </w:r>
            <w:proofErr w:type="spellEnd"/>
            <w:r w:rsidRPr="00C577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577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mkutano</w:t>
            </w:r>
            <w:proofErr w:type="spellEnd"/>
            <w:r w:rsidRPr="00C577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767">
              <w:rPr>
                <w:rFonts w:ascii="Arial" w:hAnsi="Arial" w:cs="Arial"/>
                <w:sz w:val="24"/>
                <w:szCs w:val="24"/>
              </w:rPr>
              <w:t>mkuu</w:t>
            </w:r>
            <w:proofErr w:type="spellEnd"/>
          </w:p>
        </w:tc>
      </w:tr>
      <w:tr w:rsidR="000E6B9C" w:rsidRPr="008B218F" w14:paraId="62ECC2DA" w14:textId="77777777" w:rsidTr="001840AE">
        <w:tc>
          <w:tcPr>
            <w:tcW w:w="1003" w:type="dxa"/>
          </w:tcPr>
          <w:p w14:paraId="5249B80E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14:paraId="7126C4EE" w14:textId="77777777" w:rsidR="000E6B9C" w:rsidRPr="008B218F" w:rsidRDefault="000E6B9C" w:rsidP="001840AE">
            <w:pPr>
              <w:tabs>
                <w:tab w:val="left" w:pos="1260"/>
                <w:tab w:val="left" w:pos="1350"/>
                <w:tab w:val="left" w:pos="32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Utoaji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viwango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vipya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mikopo</w:t>
            </w:r>
            <w:proofErr w:type="spellEnd"/>
          </w:p>
        </w:tc>
        <w:tc>
          <w:tcPr>
            <w:tcW w:w="4851" w:type="dxa"/>
          </w:tcPr>
          <w:p w14:paraId="775DC21D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yote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imetolewa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isipokuwa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mkopo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kibati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bajaji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20B05C0D" w14:textId="77777777" w:rsidTr="001840AE">
        <w:tc>
          <w:tcPr>
            <w:tcW w:w="1003" w:type="dxa"/>
          </w:tcPr>
          <w:p w14:paraId="2FFC09D3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14:paraId="7311BB51" w14:textId="77777777" w:rsidR="000E6B9C" w:rsidRPr="008B218F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Ukomo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madeni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TZS. 800,000,000.00</w:t>
            </w:r>
          </w:p>
        </w:tc>
        <w:tc>
          <w:tcPr>
            <w:tcW w:w="4851" w:type="dxa"/>
          </w:tcPr>
          <w:p w14:paraId="0A4C0033" w14:textId="4E9DAAA8" w:rsidR="000E6B9C" w:rsidRPr="008B218F" w:rsidRDefault="00FF441A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Tumefanikiwa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 TZS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550.00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Mrajisi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Mpaka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sasa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tume</w:t>
            </w:r>
            <w:r w:rsidR="005F233E">
              <w:rPr>
                <w:rFonts w:ascii="Arial" w:hAnsi="Arial" w:cs="Arial"/>
                <w:sz w:val="24"/>
                <w:szCs w:val="24"/>
              </w:rPr>
              <w:t>tumia</w:t>
            </w:r>
            <w:proofErr w:type="spellEnd"/>
            <w:r w:rsidR="005F233E">
              <w:rPr>
                <w:rFonts w:ascii="Arial" w:hAnsi="Arial" w:cs="Arial"/>
                <w:sz w:val="24"/>
                <w:szCs w:val="24"/>
              </w:rPr>
              <w:t xml:space="preserve"> TZS</w:t>
            </w:r>
            <w:r w:rsidR="000E6B9C">
              <w:rPr>
                <w:rFonts w:ascii="Arial" w:hAnsi="Arial" w:cs="Arial"/>
                <w:sz w:val="24"/>
                <w:szCs w:val="24"/>
              </w:rPr>
              <w:t xml:space="preserve">. 350,000,000.00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ambapo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TZS. 300,000,000.00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ilitumika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kukopea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benki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AZANIA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TZS. 50,000,000.00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ilitumika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B9C">
              <w:rPr>
                <w:rFonts w:ascii="Arial" w:hAnsi="Arial" w:cs="Arial"/>
                <w:sz w:val="24"/>
                <w:szCs w:val="24"/>
              </w:rPr>
              <w:t>kukopea</w:t>
            </w:r>
            <w:proofErr w:type="spellEnd"/>
            <w:r w:rsidR="000E6B9C">
              <w:rPr>
                <w:rFonts w:ascii="Arial" w:hAnsi="Arial" w:cs="Arial"/>
                <w:sz w:val="24"/>
                <w:szCs w:val="24"/>
              </w:rPr>
              <w:t xml:space="preserve"> SCCULT </w:t>
            </w:r>
          </w:p>
        </w:tc>
      </w:tr>
      <w:tr w:rsidR="000E6B9C" w:rsidRPr="008B218F" w14:paraId="1F71F8B0" w14:textId="77777777" w:rsidTr="001840AE">
        <w:tc>
          <w:tcPr>
            <w:tcW w:w="1003" w:type="dxa"/>
            <w:vMerge w:val="restart"/>
          </w:tcPr>
          <w:p w14:paraId="28C8290E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1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14:paraId="21DBB8C2" w14:textId="77777777" w:rsidR="000E6B9C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Ubadhilifu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uliofanyika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chama</w:t>
            </w:r>
          </w:p>
          <w:p w14:paraId="054BA693" w14:textId="77777777" w:rsidR="000E6B9C" w:rsidRDefault="000E6B9C" w:rsidP="000E6B9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TAKUKURU (PCCB)</w:t>
            </w:r>
          </w:p>
          <w:p w14:paraId="4241FC71" w14:textId="77777777" w:rsidR="000E6B9C" w:rsidRPr="00F358EC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87E46E0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TAKUKURU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wameanza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kushughulikia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mwezi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wamepelekewa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nyaraka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walizohitaji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kuanzia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mpaka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2018,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ambazo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fomu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vishina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kitabu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kupokelea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hundi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vinginevyo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wameshaanza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kuhoji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baadhi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mikoa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ikiwemo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Dar es salaam, Arusha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mingineyo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5A9BE0C7" w14:textId="77777777" w:rsidTr="001840AE">
        <w:tc>
          <w:tcPr>
            <w:tcW w:w="1003" w:type="dxa"/>
            <w:vMerge/>
          </w:tcPr>
          <w:p w14:paraId="725E2E68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2274E02" w14:textId="77777777" w:rsidR="000E6B9C" w:rsidRPr="00547B77" w:rsidRDefault="000E6B9C" w:rsidP="000E6B9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POLISI</w:t>
            </w:r>
          </w:p>
          <w:p w14:paraId="58E870E0" w14:textId="77777777" w:rsidR="000E6B9C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14:paraId="683F2C85" w14:textId="77777777" w:rsidR="000E6B9C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Wawakilishi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wamefanya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kikao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kuhusu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chama. 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wameomba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kupelekewa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taarifa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kibenki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ambao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miamala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inashida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iliwaweze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kuendelea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2765C44C" w14:textId="77777777" w:rsidTr="001840AE">
        <w:tc>
          <w:tcPr>
            <w:tcW w:w="1003" w:type="dxa"/>
            <w:vMerge/>
          </w:tcPr>
          <w:p w14:paraId="290B12CD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8DD1A84" w14:textId="77777777" w:rsidR="000E6B9C" w:rsidRDefault="000E6B9C" w:rsidP="000E6B9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CRDB</w:t>
            </w:r>
          </w:p>
          <w:p w14:paraId="454EFDD7" w14:textId="77777777" w:rsidR="000E6B9C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14:paraId="026CEA51" w14:textId="2078807F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imefanya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mikutano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CRDB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TZS.3.00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chama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CRDB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wamekubali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kurudisha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ambacho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miamala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F233E">
              <w:rPr>
                <w:rFonts w:ascii="Arial" w:hAnsi="Arial" w:cs="Arial"/>
                <w:sz w:val="24"/>
                <w:szCs w:val="24"/>
              </w:rPr>
              <w:t>tathibitika</w:t>
            </w:r>
            <w:proofErr w:type="spellEnd"/>
            <w:r w:rsidR="005F23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SACCOS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lakini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haikuwafikia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Kwa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="005F233E">
              <w:rPr>
                <w:rFonts w:ascii="Arial" w:hAnsi="Arial" w:cs="Arial"/>
                <w:sz w:val="24"/>
                <w:szCs w:val="24"/>
              </w:rPr>
              <w:t>naendelea</w:t>
            </w:r>
            <w:proofErr w:type="spellEnd"/>
            <w:r w:rsidR="005F23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F233E">
              <w:rPr>
                <w:rFonts w:ascii="Arial" w:hAnsi="Arial" w:cs="Arial"/>
                <w:sz w:val="24"/>
                <w:szCs w:val="24"/>
              </w:rPr>
              <w:t>ku</w:t>
            </w:r>
            <w:r>
              <w:rPr>
                <w:rFonts w:ascii="Arial" w:hAnsi="Arial" w:cs="Arial"/>
                <w:sz w:val="24"/>
                <w:szCs w:val="24"/>
              </w:rPr>
              <w:t>kusanya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taarifa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kibenki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kutoka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wanachama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kukamilisha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zoezi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649BB5D6" w14:textId="77777777" w:rsidTr="001840AE">
        <w:tc>
          <w:tcPr>
            <w:tcW w:w="1003" w:type="dxa"/>
            <w:vMerge/>
          </w:tcPr>
          <w:p w14:paraId="06286B29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7A3BC50" w14:textId="77777777" w:rsidR="000E6B9C" w:rsidRDefault="000E6B9C" w:rsidP="000E6B9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Robert Konni</w:t>
            </w:r>
          </w:p>
          <w:p w14:paraId="3F7C40A6" w14:textId="77777777" w:rsidR="000E6B9C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CC8F640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TZS.32,119,125.39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imehamishiwa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mahakama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wilaya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Segerea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kukazia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hukumu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6B9C" w:rsidRPr="008B218F" w14:paraId="37B37DFA" w14:textId="77777777" w:rsidTr="001840AE">
        <w:tc>
          <w:tcPr>
            <w:tcW w:w="1003" w:type="dxa"/>
            <w:vMerge/>
          </w:tcPr>
          <w:p w14:paraId="449BC29C" w14:textId="77777777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685BBC8" w14:textId="77777777" w:rsidR="000E6B9C" w:rsidRDefault="000E6B9C" w:rsidP="000E6B9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Meneja</w:t>
            </w:r>
            <w:proofErr w:type="spellEnd"/>
            <w:r>
              <w:rPr>
                <w:rFonts w:ascii="Arial" w:hAnsi="Arial" w:cs="Arial"/>
              </w:rPr>
              <w:t xml:space="preserve"> Daud Bakar</w:t>
            </w:r>
          </w:p>
          <w:p w14:paraId="7381AAB7" w14:textId="77777777" w:rsidR="000E6B9C" w:rsidRDefault="000E6B9C" w:rsidP="001840AE">
            <w:pPr>
              <w:tabs>
                <w:tab w:val="left" w:pos="720"/>
                <w:tab w:val="left" w:pos="1620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14:paraId="507F1E1F" w14:textId="49E64C65" w:rsidR="000E6B9C" w:rsidRPr="008B218F" w:rsidRDefault="000E6B9C" w:rsidP="001840AE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CRDB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wamekataa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kufanya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meneja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Daud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kusema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wabadhilifu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ndani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cham</w:t>
            </w:r>
            <w:r w:rsidR="005F233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chetu,na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wamewasilisha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hundi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zinazohusu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ubadhilifu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wake.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uchunguzi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tuhuma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uchunguzi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utakapokamilika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zitachukuliwa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mujibu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sheria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BF4BD2D" w14:textId="77777777" w:rsidR="000E6B9C" w:rsidRDefault="000E6B9C" w:rsidP="000E6B9C">
      <w:pPr>
        <w:rPr>
          <w:rFonts w:asciiTheme="minorHAnsi" w:hAnsiTheme="minorHAnsi" w:cstheme="minorHAnsi"/>
          <w:b/>
          <w:sz w:val="40"/>
          <w:szCs w:val="40"/>
        </w:rPr>
      </w:pPr>
    </w:p>
    <w:p w14:paraId="770A73FC" w14:textId="77777777" w:rsidR="000E6B9C" w:rsidRDefault="000E6B9C" w:rsidP="000E6B9C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7108880" w14:textId="77777777" w:rsidR="000E6B9C" w:rsidRDefault="000E6B9C" w:rsidP="000E6B9C">
      <w:pPr>
        <w:tabs>
          <w:tab w:val="left" w:pos="7125"/>
        </w:tabs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</w:p>
    <w:p w14:paraId="00517D61" w14:textId="77777777" w:rsidR="000E6B9C" w:rsidRDefault="000E6B9C" w:rsidP="000E6B9C">
      <w:pPr>
        <w:tabs>
          <w:tab w:val="left" w:pos="7125"/>
        </w:tabs>
        <w:rPr>
          <w:rFonts w:asciiTheme="minorHAnsi" w:hAnsiTheme="minorHAnsi" w:cstheme="minorHAnsi"/>
          <w:b/>
          <w:sz w:val="40"/>
          <w:szCs w:val="40"/>
        </w:rPr>
      </w:pPr>
    </w:p>
    <w:p w14:paraId="5143B4C6" w14:textId="77777777" w:rsidR="000E6B9C" w:rsidRDefault="000E6B9C" w:rsidP="000E6B9C">
      <w:pPr>
        <w:rPr>
          <w:rFonts w:asciiTheme="minorHAnsi" w:hAnsiTheme="minorHAnsi" w:cstheme="minorHAnsi"/>
          <w:b/>
          <w:sz w:val="40"/>
          <w:szCs w:val="40"/>
        </w:rPr>
      </w:pPr>
    </w:p>
    <w:p w14:paraId="2D7AF529" w14:textId="77777777" w:rsidR="000E6B9C" w:rsidRDefault="000E6B9C" w:rsidP="000E6B9C">
      <w:pPr>
        <w:rPr>
          <w:rFonts w:asciiTheme="minorHAnsi" w:hAnsiTheme="minorHAnsi" w:cstheme="minorHAnsi"/>
          <w:b/>
          <w:sz w:val="32"/>
          <w:szCs w:val="32"/>
        </w:rPr>
      </w:pPr>
    </w:p>
    <w:p w14:paraId="611BF6F7" w14:textId="77777777" w:rsidR="00C05FC7" w:rsidRDefault="00C05FC7"/>
    <w:sectPr w:rsidR="00C05FC7" w:rsidSect="00C0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340"/>
    <w:multiLevelType w:val="hybridMultilevel"/>
    <w:tmpl w:val="18D88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9C"/>
    <w:rsid w:val="00043A92"/>
    <w:rsid w:val="000E6B9C"/>
    <w:rsid w:val="005F233E"/>
    <w:rsid w:val="00C05FC7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4D03"/>
  <w15:docId w15:val="{D0DFF361-D9B6-4F33-B898-521970E9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9C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 BABA</dc:creator>
  <cp:lastModifiedBy>NSSF</cp:lastModifiedBy>
  <cp:revision>2</cp:revision>
  <dcterms:created xsi:type="dcterms:W3CDTF">2022-12-07T18:08:00Z</dcterms:created>
  <dcterms:modified xsi:type="dcterms:W3CDTF">2022-12-07T18:08:00Z</dcterms:modified>
</cp:coreProperties>
</file>